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91" w:rsidRDefault="00851991" w:rsidP="004801E1">
      <w:pPr>
        <w:spacing w:before="240" w:after="240" w:line="240" w:lineRule="atLeast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 w:cstheme="minorHAnsi"/>
          <w:b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6840855" cy="9487357"/>
            <wp:effectExtent l="19050" t="0" r="0" b="0"/>
            <wp:docPr id="3" name="Рисунок 3" descr="F:\Ольга Д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ьга Д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91" w:rsidRDefault="00851991" w:rsidP="004801E1">
      <w:pPr>
        <w:spacing w:before="240" w:after="240" w:line="240" w:lineRule="atLeast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</w:p>
    <w:p w:rsidR="004801E1" w:rsidRPr="0065334C" w:rsidRDefault="004801E1" w:rsidP="004801E1">
      <w:pPr>
        <w:spacing w:before="240" w:after="240" w:line="240" w:lineRule="atLeast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  <w:lastRenderedPageBreak/>
        <w:t>Пояснительная записка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Мы наблюдаем:</w:t>
      </w:r>
    </w:p>
    <w:p w:rsidR="004801E1" w:rsidRPr="0065334C" w:rsidRDefault="004801E1" w:rsidP="004801E1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изменение характера чтения;</w:t>
      </w:r>
    </w:p>
    <w:p w:rsidR="004801E1" w:rsidRPr="0065334C" w:rsidRDefault="004801E1" w:rsidP="004801E1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преобладание «делового» чтения над «свободным»;</w:t>
      </w:r>
    </w:p>
    <w:p w:rsidR="004801E1" w:rsidRPr="0065334C" w:rsidRDefault="004801E1" w:rsidP="004801E1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возрастание числа учащихся, ограничивающихся чтением литературы только по школьной программе;</w:t>
      </w:r>
    </w:p>
    <w:p w:rsidR="004801E1" w:rsidRPr="0065334C" w:rsidRDefault="004801E1" w:rsidP="004801E1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Для решения данной проблемы нами создана программа по родной литературе (русской) для учащихся 4 классов.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Программа  нацелена на решение следующих задач:</w:t>
      </w:r>
    </w:p>
    <w:p w:rsidR="004801E1" w:rsidRPr="0065334C" w:rsidRDefault="004801E1" w:rsidP="004801E1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на</w:t>
      </w:r>
      <w:proofErr w:type="gram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 прочитанное;</w:t>
      </w:r>
    </w:p>
    <w:p w:rsidR="004801E1" w:rsidRPr="0065334C" w:rsidRDefault="004801E1" w:rsidP="004801E1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801E1" w:rsidRPr="0065334C" w:rsidRDefault="004801E1" w:rsidP="004801E1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4801E1" w:rsidRPr="0065334C" w:rsidRDefault="004801E1" w:rsidP="004801E1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4801E1" w:rsidRPr="0065334C" w:rsidRDefault="004801E1" w:rsidP="004801E1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u w:val="single"/>
          <w:lang w:eastAsia="ru-RU"/>
        </w:rPr>
        <w:t>Цель</w:t>
      </w: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 программы «Родная литература»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В содержании программы  выделяются два раздела:</w:t>
      </w:r>
    </w:p>
    <w:p w:rsidR="004801E1" w:rsidRPr="0065334C" w:rsidRDefault="004801E1" w:rsidP="004801E1">
      <w:pPr>
        <w:numPr>
          <w:ilvl w:val="0"/>
          <w:numId w:val="4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Круг чтения.</w:t>
      </w:r>
    </w:p>
    <w:p w:rsidR="004801E1" w:rsidRPr="0065334C" w:rsidRDefault="004801E1" w:rsidP="004801E1">
      <w:pPr>
        <w:numPr>
          <w:ilvl w:val="0"/>
          <w:numId w:val="4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Работа с детской книгой (знания, умения и навыки)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Круг чтения</w:t>
      </w: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 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Литературное  чтение нацелено на развитие </w:t>
      </w:r>
      <w:proofErr w:type="spellStart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коммуникативности</w:t>
      </w:r>
      <w:proofErr w:type="spell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 ребенка, умение вести диалог, участвовать в беседе, слушать и дополнять </w:t>
      </w: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lastRenderedPageBreak/>
        <w:t>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u w:val="single"/>
          <w:lang w:eastAsia="ru-RU"/>
        </w:rPr>
        <w:t>Работа с детской книгой</w:t>
      </w: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: </w:t>
      </w: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В результате реализации программы учащиеся 4 класса должны: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Придумывать начало повествования или его возможное продолжение и завершение;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Составлять план к </w:t>
      </w:r>
      <w:proofErr w:type="gramStart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прочитанному</w:t>
      </w:r>
      <w:proofErr w:type="gram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 (полный, краткий, картинный);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Вводить в пересказы-повествования элементы описания, рассуждения и цитирования;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4801E1" w:rsidRPr="0065334C" w:rsidRDefault="004801E1" w:rsidP="004801E1">
      <w:pPr>
        <w:numPr>
          <w:ilvl w:val="0"/>
          <w:numId w:val="5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Давать реальную самооценку выполнения любой проделанной работы, учебного задания.</w:t>
      </w:r>
    </w:p>
    <w:p w:rsidR="004801E1" w:rsidRPr="0065334C" w:rsidRDefault="004801E1" w:rsidP="004801E1">
      <w:pPr>
        <w:spacing w:after="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К концу обучения в начальной школе, в результате освоения содержания программы по родной литературе (русской) у учащихся формируются общие учебные умения, навыки и способы познавательной деятельности, готовность обучающихся к дальнейшему образованию.</w:t>
      </w: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</w:pPr>
    </w:p>
    <w:p w:rsidR="004801E1" w:rsidRPr="0065334C" w:rsidRDefault="004801E1" w:rsidP="004801E1">
      <w:pPr>
        <w:spacing w:after="120" w:line="240" w:lineRule="atLeast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Используемая литература</w:t>
      </w: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: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proofErr w:type="spellStart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Гостимская</w:t>
      </w:r>
      <w:proofErr w:type="spell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 xml:space="preserve"> Е.С. Внеклассное чтение М., 2005.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Русская литературная классика. Самара: Корпорация «Федоров», 1995.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Что такое? Кто такой? М.: Педагогика, 1990. Т.1-3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Русские детские писатели </w:t>
      </w:r>
      <w:proofErr w:type="spellStart"/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xx</w:t>
      </w:r>
      <w:proofErr w:type="spell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 века. Библиографический словарь. М.: Флинта - наука, 2001.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Русские детские писатели </w:t>
      </w:r>
      <w:proofErr w:type="spellStart"/>
      <w:r w:rsidRPr="0065334C">
        <w:rPr>
          <w:rFonts w:eastAsia="Times New Roman" w:cstheme="minorHAnsi"/>
          <w:b/>
          <w:bCs/>
          <w:color w:val="17365D" w:themeColor="text2" w:themeShade="BF"/>
          <w:sz w:val="24"/>
          <w:szCs w:val="24"/>
          <w:lang w:eastAsia="ru-RU"/>
        </w:rPr>
        <w:t>xx</w:t>
      </w:r>
      <w:proofErr w:type="spell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 века. Библиографический словарь. М.: Флинта - наука,2001.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Российская школьная хрестоматия. 1-4 классы. Издательство «</w:t>
      </w:r>
      <w:proofErr w:type="spellStart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Интербук</w:t>
      </w:r>
      <w:proofErr w:type="spellEnd"/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»,1985.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Осеева Г. Волшебное слово. М., «Детская литература», 1980.</w:t>
      </w:r>
    </w:p>
    <w:p w:rsidR="004801E1" w:rsidRPr="0065334C" w:rsidRDefault="004801E1" w:rsidP="004801E1">
      <w:pPr>
        <w:numPr>
          <w:ilvl w:val="0"/>
          <w:numId w:val="6"/>
        </w:numPr>
        <w:spacing w:before="100" w:beforeAutospacing="1" w:after="100" w:afterAutospacing="1" w:line="240" w:lineRule="atLeast"/>
        <w:ind w:left="845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65334C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Журналы «Начальная школа».</w:t>
      </w:r>
    </w:p>
    <w:p w:rsidR="003062DF" w:rsidRPr="0065334C" w:rsidRDefault="00851991">
      <w:pPr>
        <w:rPr>
          <w:rFonts w:cstheme="minorHAnsi"/>
          <w:color w:val="17365D" w:themeColor="text2" w:themeShade="BF"/>
          <w:sz w:val="24"/>
          <w:szCs w:val="24"/>
        </w:rPr>
      </w:pPr>
    </w:p>
    <w:p w:rsidR="00DA32E4" w:rsidRPr="0065334C" w:rsidRDefault="00DA32E4" w:rsidP="00D253B4">
      <w:pPr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DA32E4" w:rsidRPr="0065334C" w:rsidRDefault="00DA32E4" w:rsidP="00D253B4">
      <w:pPr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DA32E4" w:rsidRPr="0065334C" w:rsidRDefault="00DA32E4" w:rsidP="00D253B4">
      <w:pPr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D253B4" w:rsidRPr="0065334C" w:rsidRDefault="00D253B4" w:rsidP="00DA32E4">
      <w:pPr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  <w:proofErr w:type="spellStart"/>
      <w:r w:rsidRPr="0065334C">
        <w:rPr>
          <w:rFonts w:cstheme="minorHAnsi"/>
          <w:b/>
          <w:color w:val="17365D" w:themeColor="text2" w:themeShade="BF"/>
          <w:sz w:val="24"/>
          <w:szCs w:val="24"/>
        </w:rPr>
        <w:t>Учебн</w:t>
      </w:r>
      <w:r w:rsidR="00DA32E4" w:rsidRPr="0065334C">
        <w:rPr>
          <w:rFonts w:cstheme="minorHAnsi"/>
          <w:b/>
          <w:color w:val="17365D" w:themeColor="text2" w:themeShade="BF"/>
          <w:sz w:val="24"/>
          <w:szCs w:val="24"/>
        </w:rPr>
        <w:t>о</w:t>
      </w:r>
      <w:proofErr w:type="spellEnd"/>
      <w:r w:rsidR="00DA32E4" w:rsidRPr="0065334C">
        <w:rPr>
          <w:rFonts w:cstheme="minorHAnsi"/>
          <w:b/>
          <w:color w:val="17365D" w:themeColor="text2" w:themeShade="BF"/>
          <w:sz w:val="24"/>
          <w:szCs w:val="24"/>
        </w:rPr>
        <w:t xml:space="preserve"> - тематический план программы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33"/>
        <w:gridCol w:w="2407"/>
        <w:gridCol w:w="1845"/>
        <w:gridCol w:w="2410"/>
      </w:tblGrid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Тема внеклассного чтения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Материал, используемый на уроке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Домашнее задание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1-2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Самые интересные книги, прочитанные летом.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Путешествие по станциям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Урок- 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3-4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Мир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- в котором я живу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Е. Шварц «Сказка о потерянном времени»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Урок – рассуждение о 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Р.Киплинг «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Рикк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-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Тикки</w:t>
            </w:r>
            <w:proofErr w:type="spell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Тави</w:t>
            </w:r>
            <w:proofErr w:type="spell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5-6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Делай 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добро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и оно тебе возвратится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Р.К.Киплинг «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Рикк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-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Тики –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Тави</w:t>
            </w:r>
            <w:proofErr w:type="spell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Урок-конференция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Составить рассказ о добрых делах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Литературный ринг по произведениям А.С.Пушкина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Выставка книг,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сказки А.С.Пушкина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Литературный 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Сказки А.С.Пушкина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8-9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 мире сказок А.Пушкина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Сборники сказок писателя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Рассказы М.М.Пришвина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10-11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М.М.Пришвин - певец русской природы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Книги Пришвина,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кроссворд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В.Осеева «Волшебное слово».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12-13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Воспитанный ребенок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В.Осеева «Волшебное слово» и др.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Урок- спектакль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Русские народные сказки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14-16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 мире сказок и приключений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Исследование, частично поисковая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Прочитать рассказы  В.Бианки</w:t>
            </w:r>
          </w:p>
        </w:tc>
      </w:tr>
      <w:tr w:rsidR="00D253B4" w:rsidRPr="0065334C" w:rsidTr="00D253B4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17-18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Необычный календарь («Лесная газета» В.Бианки и др.)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В.Бианки «Лесная газета»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Урок 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-к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D253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Повторить пословицы и поговорки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19-21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Литературное путешествие по творчеству Л.Н.Толстого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    Произведения Л.Н.Толстого для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    Урок- путешествие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Нарисовать рисунки о природе, придумать эмблемы об охране природы 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22-24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Сбережем родную природу во всей ее красе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Стихотворения, песни, таблицы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Урок – 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Найти загадки о птицах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25-</w:t>
            </w: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Крылатое чудо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Кроссворды и </w:t>
            </w: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таблицы-карточки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 xml:space="preserve">Урок-отчёт </w:t>
            </w:r>
          </w:p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Урок КВН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 xml:space="preserve">Исследовательские работы по заданным </w:t>
            </w: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произведениям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lastRenderedPageBreak/>
              <w:t>28-31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D253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«Идет война народная…» (произведения о Великой Отечественной войне)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Сергей Алексеев «Блокадный хлеб» и «Буханка» и </w:t>
            </w:r>
            <w:proofErr w:type="spell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др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.Ю</w:t>
            </w:r>
            <w:proofErr w:type="spellEnd"/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В.Катаев «Сын полка»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Уроки- экскурсии в прошлое, в военные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Подготовиться к ответам викторины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32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Викторина «Дети войны»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Выставка книг о ВОВ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Подготовить книгу из семейного архива</w:t>
            </w:r>
          </w:p>
        </w:tc>
      </w:tr>
      <w:tr w:rsidR="00D253B4" w:rsidRPr="0065334C" w:rsidTr="00D253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33-34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D253B4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>«О чём можно, о чём нужно, о чём хочется читать»</w:t>
            </w: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9356CD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>Контрольно-установочное занятие.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D253B4">
            <w:pPr>
              <w:spacing w:line="240" w:lineRule="atLeast"/>
              <w:contextualSpacing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</w:pPr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 xml:space="preserve">Проверка уровня усвоения учащимися специальных знаний, умений и навыков, полученных в системе внеклассного чтения за 4 года. Установка на </w:t>
            </w:r>
            <w:proofErr w:type="spellStart"/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D253B4" w:rsidRPr="0065334C" w:rsidRDefault="00D253B4" w:rsidP="00D253B4">
            <w:pPr>
              <w:spacing w:line="240" w:lineRule="atLeast"/>
              <w:contextualSpacing/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>ное</w:t>
            </w:r>
            <w:proofErr w:type="spellEnd"/>
            <w:r w:rsidRPr="0065334C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ru-RU"/>
              </w:rPr>
              <w:t xml:space="preserve"> чтение в 5 классе.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65334C" w:rsidRDefault="00D253B4" w:rsidP="00D253B4">
            <w:pPr>
              <w:spacing w:line="240" w:lineRule="atLeast"/>
              <w:contextualSpacing/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Список книг </w:t>
            </w:r>
            <w:proofErr w:type="gramStart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для</w:t>
            </w:r>
            <w:proofErr w:type="gramEnd"/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 </w:t>
            </w:r>
          </w:p>
          <w:p w:rsidR="00D253B4" w:rsidRPr="0065334C" w:rsidRDefault="00D253B4" w:rsidP="00D253B4">
            <w:pPr>
              <w:spacing w:line="240" w:lineRule="atLeast"/>
              <w:contextualSpacing/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5334C">
              <w:rPr>
                <w:rFonts w:cstheme="minorHAnsi"/>
                <w:color w:val="17365D" w:themeColor="text2" w:themeShade="BF"/>
                <w:sz w:val="24"/>
                <w:szCs w:val="24"/>
              </w:rPr>
              <w:t>чтения на каникулах</w:t>
            </w:r>
          </w:p>
        </w:tc>
      </w:tr>
    </w:tbl>
    <w:p w:rsidR="00D253B4" w:rsidRPr="0065334C" w:rsidRDefault="00D253B4">
      <w:pPr>
        <w:rPr>
          <w:rFonts w:cstheme="minorHAnsi"/>
          <w:color w:val="17365D" w:themeColor="text2" w:themeShade="BF"/>
          <w:sz w:val="24"/>
          <w:szCs w:val="24"/>
        </w:rPr>
      </w:pPr>
    </w:p>
    <w:sectPr w:rsidR="00D253B4" w:rsidRPr="0065334C" w:rsidSect="004801E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B1"/>
    <w:multiLevelType w:val="multilevel"/>
    <w:tmpl w:val="FD5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E26"/>
    <w:multiLevelType w:val="multilevel"/>
    <w:tmpl w:val="11E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13FB"/>
    <w:multiLevelType w:val="multilevel"/>
    <w:tmpl w:val="721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C00C4"/>
    <w:multiLevelType w:val="multilevel"/>
    <w:tmpl w:val="0786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B5856"/>
    <w:multiLevelType w:val="multilevel"/>
    <w:tmpl w:val="5568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948ED"/>
    <w:multiLevelType w:val="multilevel"/>
    <w:tmpl w:val="EA2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1"/>
    <w:rsid w:val="002367D8"/>
    <w:rsid w:val="002935B4"/>
    <w:rsid w:val="004801E1"/>
    <w:rsid w:val="0065334C"/>
    <w:rsid w:val="006F1FE6"/>
    <w:rsid w:val="00851991"/>
    <w:rsid w:val="009B4889"/>
    <w:rsid w:val="00D253B4"/>
    <w:rsid w:val="00DA32E4"/>
    <w:rsid w:val="00F059BC"/>
    <w:rsid w:val="00F23627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8"/>
  </w:style>
  <w:style w:type="paragraph" w:styleId="1">
    <w:name w:val="heading 1"/>
    <w:basedOn w:val="a"/>
    <w:link w:val="10"/>
    <w:uiPriority w:val="9"/>
    <w:qFormat/>
    <w:rsid w:val="0048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01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1E1"/>
  </w:style>
  <w:style w:type="character" w:styleId="a4">
    <w:name w:val="Emphasis"/>
    <w:basedOn w:val="a0"/>
    <w:uiPriority w:val="20"/>
    <w:qFormat/>
    <w:rsid w:val="004801E1"/>
    <w:rPr>
      <w:i/>
      <w:iCs/>
    </w:rPr>
  </w:style>
  <w:style w:type="paragraph" w:styleId="a5">
    <w:name w:val="Normal (Web)"/>
    <w:basedOn w:val="a"/>
    <w:uiPriority w:val="99"/>
    <w:semiHidden/>
    <w:unhideWhenUsed/>
    <w:rsid w:val="0048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1E1"/>
    <w:rPr>
      <w:b/>
      <w:bCs/>
    </w:rPr>
  </w:style>
  <w:style w:type="character" w:customStyle="1" w:styleId="b-share-form-button">
    <w:name w:val="b-share-form-button"/>
    <w:basedOn w:val="a0"/>
    <w:rsid w:val="004801E1"/>
  </w:style>
  <w:style w:type="paragraph" w:styleId="a7">
    <w:name w:val="Balloon Text"/>
    <w:basedOn w:val="a"/>
    <w:link w:val="a8"/>
    <w:uiPriority w:val="99"/>
    <w:semiHidden/>
    <w:unhideWhenUsed/>
    <w:rsid w:val="0085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122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1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664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A61A-76C5-4BCE-819A-5C3E41F4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6</cp:revision>
  <cp:lastPrinted>2015-09-30T18:05:00Z</cp:lastPrinted>
  <dcterms:created xsi:type="dcterms:W3CDTF">2015-09-20T20:40:00Z</dcterms:created>
  <dcterms:modified xsi:type="dcterms:W3CDTF">2019-12-12T09:34:00Z</dcterms:modified>
</cp:coreProperties>
</file>